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068DA5F7"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practising as</w:t>
      </w:r>
      <w:r w:rsidR="002903B5">
        <w:rPr>
          <w:rFonts w:eastAsia="Times New Roman" w:cstheme="minorHAnsi"/>
          <w:color w:val="222222"/>
          <w:lang w:eastAsia="en-GB"/>
        </w:rPr>
        <w:t xml:space="preserve"> Catherine Lucy Parker</w:t>
      </w:r>
      <w:r w:rsidR="00A9134B">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0738210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 I collect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3C93F73D" w14:textId="629A7BBE" w:rsidR="00F928CB" w:rsidRPr="00A9134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59D7FB62" w14:textId="130DCE97" w:rsidR="00EA4392" w:rsidRPr="00A9134B" w:rsidRDefault="00EA4392" w:rsidP="00A9134B">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lastRenderedPageBreak/>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information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lastRenderedPageBreak/>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I collect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general public in relation to the publication of legal judgments and decisions of courts and tribunals I may be required to provide information to regulators, such as the Bar Standards Board, the Financial Conduct Authority or the Information Commissioner’s Office. In the case </w:t>
      </w:r>
      <w:r w:rsidRPr="004E46D7">
        <w:rPr>
          <w:rFonts w:eastAsia="Times New Roman" w:cstheme="minorHAnsi"/>
          <w:color w:val="222222"/>
          <w:lang w:eastAsia="en-GB"/>
        </w:rPr>
        <w:lastRenderedPageBreak/>
        <w:t>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The USA does not have the same data protection laws as the EU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39071389"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142879"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6BA24A3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This privacy notice was published on 2</w:t>
      </w:r>
      <w:r w:rsidR="00A9134B">
        <w:rPr>
          <w:rFonts w:eastAsia="Times New Roman" w:cstheme="minorHAnsi"/>
          <w:color w:val="222222"/>
          <w:lang w:eastAsia="en-GB"/>
        </w:rPr>
        <w:t>9</w:t>
      </w:r>
      <w:r w:rsidRPr="004E46D7">
        <w:rPr>
          <w:rFonts w:eastAsia="Times New Roman" w:cstheme="minorHAnsi"/>
          <w:color w:val="222222"/>
          <w:lang w:eastAsia="en-GB"/>
        </w:rPr>
        <w:t xml:space="preserve"> </w:t>
      </w:r>
      <w:r w:rsidR="00A9134B">
        <w:rPr>
          <w:rFonts w:eastAsia="Times New Roman" w:cstheme="minorHAnsi"/>
          <w:color w:val="222222"/>
          <w:lang w:eastAsia="en-GB"/>
        </w:rPr>
        <w:t>December</w:t>
      </w:r>
      <w:r w:rsidRPr="004E46D7">
        <w:rPr>
          <w:rFonts w:eastAsia="Times New Roman" w:cstheme="minorHAnsi"/>
          <w:color w:val="222222"/>
          <w:lang w:eastAsia="en-GB"/>
        </w:rPr>
        <w:t xml:space="preserve"> 20</w:t>
      </w:r>
      <w:r w:rsidR="0011377F" w:rsidRPr="00406FF3">
        <w:rPr>
          <w:rFonts w:eastAsia="Times New Roman" w:cstheme="minorHAnsi"/>
          <w:color w:val="222222"/>
          <w:lang w:eastAsia="en-GB"/>
        </w:rPr>
        <w:t>20</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7208A498"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ead</w:t>
      </w:r>
      <w:r w:rsidR="00142879">
        <w:rPr>
          <w:rFonts w:eastAsia="Times New Roman" w:cstheme="minorHAnsi"/>
          <w:color w:val="222222"/>
          <w:lang w:eastAsia="en-GB"/>
        </w:rPr>
        <w:t xml:space="preserve"> – Andrew Ross</w:t>
      </w:r>
      <w:r w:rsidR="004E46D7" w:rsidRPr="004E46D7">
        <w:rPr>
          <w:rFonts w:eastAsia="Times New Roman" w:cstheme="minorHAnsi"/>
          <w:color w:val="222222"/>
          <w:lang w:eastAsia="en-GB"/>
        </w:rPr>
        <w:t>.</w:t>
      </w:r>
    </w:p>
    <w:p w14:paraId="4E129E37" w14:textId="77FD0336"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27044"/>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42879"/>
    <w:rsid w:val="00161ECC"/>
    <w:rsid w:val="001661F2"/>
    <w:rsid w:val="001754A8"/>
    <w:rsid w:val="001858C2"/>
    <w:rsid w:val="00196383"/>
    <w:rsid w:val="001A0DAD"/>
    <w:rsid w:val="001B6EED"/>
    <w:rsid w:val="001C7F62"/>
    <w:rsid w:val="001D4087"/>
    <w:rsid w:val="001F3227"/>
    <w:rsid w:val="0020698A"/>
    <w:rsid w:val="002220E2"/>
    <w:rsid w:val="00225BF9"/>
    <w:rsid w:val="00237E1B"/>
    <w:rsid w:val="00245813"/>
    <w:rsid w:val="00251426"/>
    <w:rsid w:val="00260057"/>
    <w:rsid w:val="00274650"/>
    <w:rsid w:val="002876CB"/>
    <w:rsid w:val="002903B5"/>
    <w:rsid w:val="00290D3C"/>
    <w:rsid w:val="002A3928"/>
    <w:rsid w:val="002D3637"/>
    <w:rsid w:val="002E3E08"/>
    <w:rsid w:val="0031260B"/>
    <w:rsid w:val="00366500"/>
    <w:rsid w:val="00385B4E"/>
    <w:rsid w:val="003942A1"/>
    <w:rsid w:val="003A7E59"/>
    <w:rsid w:val="003B5AF0"/>
    <w:rsid w:val="003E4EE0"/>
    <w:rsid w:val="00406FF3"/>
    <w:rsid w:val="00411233"/>
    <w:rsid w:val="00427ECD"/>
    <w:rsid w:val="004459B9"/>
    <w:rsid w:val="00447F26"/>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D268A"/>
    <w:rsid w:val="005D3463"/>
    <w:rsid w:val="00642E28"/>
    <w:rsid w:val="00643ADD"/>
    <w:rsid w:val="00667F5F"/>
    <w:rsid w:val="00676EF4"/>
    <w:rsid w:val="006900CB"/>
    <w:rsid w:val="006A046D"/>
    <w:rsid w:val="006B3486"/>
    <w:rsid w:val="006B5F28"/>
    <w:rsid w:val="006E4FCE"/>
    <w:rsid w:val="006E5567"/>
    <w:rsid w:val="006F0689"/>
    <w:rsid w:val="0072463B"/>
    <w:rsid w:val="0074161D"/>
    <w:rsid w:val="0075204A"/>
    <w:rsid w:val="0077483E"/>
    <w:rsid w:val="007832FF"/>
    <w:rsid w:val="00786E04"/>
    <w:rsid w:val="00791685"/>
    <w:rsid w:val="00794E08"/>
    <w:rsid w:val="007D4745"/>
    <w:rsid w:val="00822836"/>
    <w:rsid w:val="008439ED"/>
    <w:rsid w:val="00860B23"/>
    <w:rsid w:val="008A33BF"/>
    <w:rsid w:val="008C30BC"/>
    <w:rsid w:val="008D59EF"/>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720A0"/>
    <w:rsid w:val="00A85FEE"/>
    <w:rsid w:val="00A9134B"/>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FFA"/>
    <w:rsid w:val="00DB6677"/>
    <w:rsid w:val="00DC2B9F"/>
    <w:rsid w:val="00DD2D2F"/>
    <w:rsid w:val="00E00AF8"/>
    <w:rsid w:val="00E111CE"/>
    <w:rsid w:val="00E333ED"/>
    <w:rsid w:val="00E35709"/>
    <w:rsid w:val="00E420FB"/>
    <w:rsid w:val="00E47A1E"/>
    <w:rsid w:val="00E74DE1"/>
    <w:rsid w:val="00E77B94"/>
    <w:rsid w:val="00E821EE"/>
    <w:rsid w:val="00E93195"/>
    <w:rsid w:val="00EA4392"/>
    <w:rsid w:val="00EB125F"/>
    <w:rsid w:val="00EB4285"/>
    <w:rsid w:val="00ED1645"/>
    <w:rsid w:val="00EF608C"/>
    <w:rsid w:val="00F02FCA"/>
    <w:rsid w:val="00F048E3"/>
    <w:rsid w:val="00F07A5E"/>
    <w:rsid w:val="00F242DF"/>
    <w:rsid w:val="00F2613C"/>
    <w:rsid w:val="00F338DA"/>
    <w:rsid w:val="00F43B4B"/>
    <w:rsid w:val="00F46832"/>
    <w:rsid w:val="00F63531"/>
    <w:rsid w:val="00F677A2"/>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48727-CCFA-45B2-93FF-68E0AC6C38F8}">
  <ds:schemaRefs>
    <ds:schemaRef ds:uri="http://schemas.microsoft.com/sharepoint/v3/contenttype/forms"/>
  </ds:schemaRefs>
</ds:datastoreItem>
</file>

<file path=customXml/itemProps3.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Andrew Ross</cp:lastModifiedBy>
  <cp:revision>2</cp:revision>
  <dcterms:created xsi:type="dcterms:W3CDTF">2021-01-29T16:32:00Z</dcterms:created>
  <dcterms:modified xsi:type="dcterms:W3CDTF">2021-01-29T16:32:00Z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